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CB3" w:rsidRDefault="00F82CB3" w:rsidP="00545C7E">
      <w:pPr>
        <w:spacing w:after="0" w:line="240" w:lineRule="auto"/>
        <w:rPr>
          <w:rFonts w:eastAsia="Calibri" w:cstheme="minorHAnsi"/>
          <w:sz w:val="24"/>
          <w:szCs w:val="24"/>
        </w:rPr>
      </w:pPr>
      <w:r w:rsidRPr="00545C7E">
        <w:rPr>
          <w:rFonts w:eastAsia="Calibri" w:cstheme="minorHAnsi"/>
          <w:sz w:val="24"/>
          <w:szCs w:val="24"/>
        </w:rPr>
        <w:t>Comprehensive Review of Revised Water Management Act Permit Requirements, July 1, 2017</w:t>
      </w:r>
    </w:p>
    <w:p w:rsidR="00545C7E" w:rsidRDefault="00545C7E" w:rsidP="00545C7E">
      <w:pPr>
        <w:spacing w:after="0" w:line="240" w:lineRule="auto"/>
        <w:rPr>
          <w:rFonts w:eastAsia="Calibri" w:cstheme="minorHAnsi"/>
          <w:sz w:val="24"/>
          <w:szCs w:val="24"/>
        </w:rPr>
      </w:pPr>
    </w:p>
    <w:p w:rsidR="00B221CC" w:rsidRDefault="00B221CC" w:rsidP="00545C7E">
      <w:pPr>
        <w:spacing w:after="0" w:line="240" w:lineRule="auto"/>
        <w:rPr>
          <w:rFonts w:eastAsia="Calibri" w:cstheme="minorHAnsi"/>
          <w:sz w:val="24"/>
          <w:szCs w:val="24"/>
        </w:rPr>
      </w:pPr>
      <w:r>
        <w:rPr>
          <w:rFonts w:eastAsia="Calibri" w:cstheme="minorHAnsi"/>
          <w:sz w:val="24"/>
          <w:szCs w:val="24"/>
        </w:rPr>
        <w:t>Description of the M$4CASTER</w:t>
      </w:r>
      <w:r>
        <w:rPr>
          <w:rFonts w:eastAsia="Calibri" w:cstheme="minorHAnsi"/>
          <w:sz w:val="24"/>
          <w:szCs w:val="24"/>
          <w:vertAlign w:val="superscript"/>
        </w:rPr>
        <w:t xml:space="preserve">TM </w:t>
      </w:r>
      <w:r>
        <w:rPr>
          <w:rFonts w:eastAsia="Calibri" w:cstheme="minorHAnsi"/>
          <w:sz w:val="24"/>
          <w:szCs w:val="24"/>
        </w:rPr>
        <w:t>Model and Reference Documents</w:t>
      </w:r>
    </w:p>
    <w:p w:rsidR="00B221CC" w:rsidRDefault="00B221CC" w:rsidP="00545C7E">
      <w:pPr>
        <w:spacing w:after="0" w:line="240" w:lineRule="auto"/>
        <w:rPr>
          <w:rFonts w:eastAsia="Calibri" w:cstheme="minorHAnsi"/>
          <w:sz w:val="24"/>
          <w:szCs w:val="24"/>
        </w:rPr>
      </w:pPr>
    </w:p>
    <w:p w:rsidR="00B221CC" w:rsidRDefault="00B221CC" w:rsidP="00545C7E">
      <w:pPr>
        <w:spacing w:after="0" w:line="240" w:lineRule="auto"/>
        <w:rPr>
          <w:rFonts w:eastAsia="Calibri" w:cstheme="minorHAnsi"/>
          <w:sz w:val="24"/>
          <w:szCs w:val="24"/>
        </w:rPr>
      </w:pPr>
      <w:r>
        <w:rPr>
          <w:rFonts w:eastAsia="Calibri" w:cstheme="minorHAnsi"/>
          <w:sz w:val="24"/>
          <w:szCs w:val="24"/>
        </w:rPr>
        <w:t xml:space="preserve">The MS4 costs presented in Table 9.7 – </w:t>
      </w:r>
      <w:proofErr w:type="spellStart"/>
      <w:r>
        <w:rPr>
          <w:rFonts w:eastAsia="Calibri" w:cstheme="minorHAnsi"/>
          <w:sz w:val="24"/>
          <w:szCs w:val="24"/>
        </w:rPr>
        <w:t>Stormwater</w:t>
      </w:r>
      <w:proofErr w:type="spellEnd"/>
      <w:r>
        <w:rPr>
          <w:rFonts w:eastAsia="Calibri" w:cstheme="minorHAnsi"/>
          <w:sz w:val="24"/>
          <w:szCs w:val="24"/>
        </w:rPr>
        <w:t xml:space="preserve"> Recharge – MS4 Requirements were estimated using Comprehensive Environmental Inc. (CEI) proprietary M$4CASTER</w:t>
      </w:r>
      <w:r>
        <w:rPr>
          <w:rFonts w:eastAsia="Calibri" w:cstheme="minorHAnsi"/>
          <w:sz w:val="24"/>
          <w:szCs w:val="24"/>
          <w:vertAlign w:val="superscript"/>
        </w:rPr>
        <w:t>TM</w:t>
      </w:r>
      <w:r>
        <w:rPr>
          <w:rFonts w:eastAsia="Calibri" w:cstheme="minorHAnsi"/>
          <w:sz w:val="24"/>
          <w:szCs w:val="24"/>
        </w:rPr>
        <w:t xml:space="preserve"> model</w:t>
      </w:r>
      <w:r w:rsidR="00B57557">
        <w:rPr>
          <w:rStyle w:val="FootnoteReference"/>
          <w:rFonts w:eastAsia="Calibri" w:cstheme="minorHAnsi"/>
          <w:sz w:val="24"/>
          <w:szCs w:val="24"/>
        </w:rPr>
        <w:footnoteReference w:id="1"/>
      </w:r>
      <w:r>
        <w:rPr>
          <w:rFonts w:eastAsia="Calibri" w:cstheme="minorHAnsi"/>
          <w:sz w:val="24"/>
          <w:szCs w:val="24"/>
        </w:rPr>
        <w:t xml:space="preserve">.  This model was developed to assist communities estimating MS4 NPDES Phase II </w:t>
      </w:r>
      <w:proofErr w:type="spellStart"/>
      <w:r>
        <w:rPr>
          <w:rFonts w:eastAsia="Calibri" w:cstheme="minorHAnsi"/>
          <w:sz w:val="24"/>
          <w:szCs w:val="24"/>
        </w:rPr>
        <w:t>Stormwater</w:t>
      </w:r>
      <w:proofErr w:type="spellEnd"/>
      <w:r>
        <w:rPr>
          <w:rFonts w:eastAsia="Calibri" w:cstheme="minorHAnsi"/>
          <w:sz w:val="24"/>
          <w:szCs w:val="24"/>
        </w:rPr>
        <w:t xml:space="preserve"> Program costs in Massachusetts.  The model considers each of the 150+ P</w:t>
      </w:r>
      <w:r w:rsidR="00B57557">
        <w:rPr>
          <w:rFonts w:eastAsia="Calibri" w:cstheme="minorHAnsi"/>
          <w:sz w:val="24"/>
          <w:szCs w:val="24"/>
        </w:rPr>
        <w:t xml:space="preserve">erformance </w:t>
      </w:r>
      <w:r>
        <w:rPr>
          <w:rFonts w:eastAsia="Calibri" w:cstheme="minorHAnsi"/>
          <w:sz w:val="24"/>
          <w:szCs w:val="24"/>
        </w:rPr>
        <w:t>A</w:t>
      </w:r>
      <w:r w:rsidR="00B57557">
        <w:rPr>
          <w:rFonts w:eastAsia="Calibri" w:cstheme="minorHAnsi"/>
          <w:sz w:val="24"/>
          <w:szCs w:val="24"/>
        </w:rPr>
        <w:t xml:space="preserve">ction </w:t>
      </w:r>
      <w:r>
        <w:rPr>
          <w:rFonts w:eastAsia="Calibri" w:cstheme="minorHAnsi"/>
          <w:sz w:val="24"/>
          <w:szCs w:val="24"/>
        </w:rPr>
        <w:t>I</w:t>
      </w:r>
      <w:r w:rsidR="00B57557">
        <w:rPr>
          <w:rFonts w:eastAsia="Calibri" w:cstheme="minorHAnsi"/>
          <w:sz w:val="24"/>
          <w:szCs w:val="24"/>
        </w:rPr>
        <w:t>tem</w:t>
      </w:r>
      <w:r>
        <w:rPr>
          <w:rFonts w:eastAsia="Calibri" w:cstheme="minorHAnsi"/>
          <w:sz w:val="24"/>
          <w:szCs w:val="24"/>
        </w:rPr>
        <w:t>s in the new permit and combines them into approximately 25 individual implementation items to provide budge</w:t>
      </w:r>
      <w:r w:rsidR="00E50FBD">
        <w:rPr>
          <w:rFonts w:eastAsia="Calibri" w:cstheme="minorHAnsi"/>
          <w:sz w:val="24"/>
          <w:szCs w:val="24"/>
        </w:rPr>
        <w:t>t data for overall costs.  The m</w:t>
      </w:r>
      <w:r>
        <w:rPr>
          <w:rFonts w:eastAsia="Calibri" w:cstheme="minorHAnsi"/>
          <w:sz w:val="24"/>
          <w:szCs w:val="24"/>
        </w:rPr>
        <w:t xml:space="preserve">odel also takes into consideration community-specific data, such </w:t>
      </w:r>
      <w:r w:rsidR="00B57557">
        <w:rPr>
          <w:rFonts w:eastAsia="Calibri" w:cstheme="minorHAnsi"/>
          <w:sz w:val="24"/>
          <w:szCs w:val="24"/>
        </w:rPr>
        <w:t>as the number of catch basins and outfalls, MS4 program configuration, and work performed to date.</w:t>
      </w:r>
    </w:p>
    <w:p w:rsidR="00B57557" w:rsidRDefault="00B57557" w:rsidP="00545C7E">
      <w:pPr>
        <w:spacing w:after="0" w:line="240" w:lineRule="auto"/>
        <w:rPr>
          <w:rFonts w:eastAsia="Calibri" w:cstheme="minorHAnsi"/>
          <w:sz w:val="24"/>
          <w:szCs w:val="24"/>
        </w:rPr>
      </w:pPr>
    </w:p>
    <w:p w:rsidR="00B57557" w:rsidRPr="00E50FBD" w:rsidRDefault="00B57557" w:rsidP="00E50FBD">
      <w:pPr>
        <w:spacing w:after="0" w:line="240" w:lineRule="auto"/>
        <w:rPr>
          <w:rFonts w:eastAsia="Calibri" w:cstheme="minorHAnsi"/>
          <w:sz w:val="24"/>
          <w:szCs w:val="24"/>
        </w:rPr>
      </w:pPr>
      <w:r w:rsidRPr="00E50FBD">
        <w:rPr>
          <w:rFonts w:eastAsia="Calibri" w:cstheme="minorHAnsi"/>
          <w:sz w:val="24"/>
          <w:szCs w:val="24"/>
        </w:rPr>
        <w:t>The Model helps with the following:</w:t>
      </w:r>
    </w:p>
    <w:p w:rsidR="00B57557" w:rsidRPr="00B57557" w:rsidRDefault="00B57557" w:rsidP="00B57557">
      <w:pPr>
        <w:pStyle w:val="ListParagraph"/>
        <w:numPr>
          <w:ilvl w:val="0"/>
          <w:numId w:val="1"/>
        </w:numPr>
        <w:spacing w:after="0" w:line="240" w:lineRule="auto"/>
        <w:rPr>
          <w:rFonts w:eastAsia="Calibri" w:cstheme="minorHAnsi"/>
          <w:sz w:val="24"/>
          <w:szCs w:val="24"/>
        </w:rPr>
      </w:pPr>
      <w:r w:rsidRPr="00B57557">
        <w:rPr>
          <w:rFonts w:eastAsia="Calibri" w:cstheme="minorHAnsi"/>
          <w:sz w:val="24"/>
          <w:szCs w:val="24"/>
        </w:rPr>
        <w:t>Run “Wat If” scenarios to reduce costs;</w:t>
      </w:r>
    </w:p>
    <w:p w:rsidR="00B57557" w:rsidRPr="00B57557" w:rsidRDefault="00B57557" w:rsidP="00B57557">
      <w:pPr>
        <w:pStyle w:val="ListParagraph"/>
        <w:numPr>
          <w:ilvl w:val="0"/>
          <w:numId w:val="1"/>
        </w:numPr>
        <w:spacing w:after="0" w:line="240" w:lineRule="auto"/>
        <w:rPr>
          <w:rFonts w:eastAsia="Calibri" w:cstheme="minorHAnsi"/>
          <w:sz w:val="24"/>
          <w:szCs w:val="24"/>
        </w:rPr>
      </w:pPr>
      <w:r w:rsidRPr="00B57557">
        <w:rPr>
          <w:rFonts w:eastAsia="Calibri" w:cstheme="minorHAnsi"/>
          <w:sz w:val="24"/>
          <w:szCs w:val="24"/>
        </w:rPr>
        <w:t>Community specific input for custom cost estimates;</w:t>
      </w:r>
    </w:p>
    <w:p w:rsidR="00B57557" w:rsidRPr="00B57557" w:rsidRDefault="00B57557" w:rsidP="00B57557">
      <w:pPr>
        <w:pStyle w:val="ListParagraph"/>
        <w:numPr>
          <w:ilvl w:val="0"/>
          <w:numId w:val="1"/>
        </w:numPr>
        <w:spacing w:after="0" w:line="240" w:lineRule="auto"/>
        <w:rPr>
          <w:rFonts w:eastAsia="Calibri" w:cstheme="minorHAnsi"/>
          <w:sz w:val="24"/>
          <w:szCs w:val="24"/>
        </w:rPr>
      </w:pPr>
      <w:r w:rsidRPr="00B57557">
        <w:rPr>
          <w:rFonts w:eastAsia="Calibri" w:cstheme="minorHAnsi"/>
          <w:sz w:val="24"/>
          <w:szCs w:val="24"/>
        </w:rPr>
        <w:t>Summary of major program components</w:t>
      </w:r>
      <w:bookmarkStart w:id="0" w:name="_GoBack"/>
      <w:bookmarkEnd w:id="0"/>
    </w:p>
    <w:p w:rsidR="00B57557" w:rsidRPr="00B57557" w:rsidRDefault="00B57557" w:rsidP="00B57557">
      <w:pPr>
        <w:pStyle w:val="ListParagraph"/>
        <w:numPr>
          <w:ilvl w:val="0"/>
          <w:numId w:val="1"/>
        </w:numPr>
        <w:spacing w:after="0" w:line="240" w:lineRule="auto"/>
        <w:rPr>
          <w:rFonts w:eastAsia="Calibri" w:cstheme="minorHAnsi"/>
          <w:sz w:val="24"/>
          <w:szCs w:val="24"/>
        </w:rPr>
      </w:pPr>
      <w:r w:rsidRPr="00B57557">
        <w:rPr>
          <w:rFonts w:eastAsia="Calibri" w:cstheme="minorHAnsi"/>
          <w:sz w:val="24"/>
          <w:szCs w:val="24"/>
        </w:rPr>
        <w:t>Schedule for implementation by year; and</w:t>
      </w:r>
    </w:p>
    <w:p w:rsidR="00B57557" w:rsidRDefault="00B57557" w:rsidP="00B57557">
      <w:pPr>
        <w:pStyle w:val="ListParagraph"/>
        <w:numPr>
          <w:ilvl w:val="0"/>
          <w:numId w:val="1"/>
        </w:numPr>
        <w:spacing w:after="0" w:line="240" w:lineRule="auto"/>
        <w:rPr>
          <w:rFonts w:eastAsia="Calibri" w:cstheme="minorHAnsi"/>
          <w:sz w:val="24"/>
          <w:szCs w:val="24"/>
        </w:rPr>
      </w:pPr>
      <w:r w:rsidRPr="00B57557">
        <w:rPr>
          <w:rFonts w:eastAsia="Calibri" w:cstheme="minorHAnsi"/>
          <w:sz w:val="24"/>
          <w:szCs w:val="24"/>
        </w:rPr>
        <w:t>Incorporate work completed to date into the cost matrix.</w:t>
      </w:r>
    </w:p>
    <w:p w:rsidR="00B57557" w:rsidRDefault="00B57557" w:rsidP="00B57557">
      <w:pPr>
        <w:spacing w:after="0" w:line="240" w:lineRule="auto"/>
        <w:rPr>
          <w:rFonts w:eastAsia="Calibri" w:cstheme="minorHAnsi"/>
          <w:sz w:val="24"/>
          <w:szCs w:val="24"/>
        </w:rPr>
      </w:pPr>
    </w:p>
    <w:p w:rsidR="00B57557" w:rsidRDefault="00B57557" w:rsidP="00E50FBD">
      <w:pPr>
        <w:spacing w:after="0" w:line="240" w:lineRule="auto"/>
        <w:rPr>
          <w:rFonts w:eastAsia="Calibri" w:cstheme="minorHAnsi"/>
          <w:sz w:val="24"/>
          <w:szCs w:val="24"/>
        </w:rPr>
      </w:pPr>
      <w:r>
        <w:rPr>
          <w:rFonts w:eastAsia="Calibri" w:cstheme="minorHAnsi"/>
          <w:sz w:val="24"/>
          <w:szCs w:val="24"/>
        </w:rPr>
        <w:t xml:space="preserve">The reference documents </w:t>
      </w:r>
      <w:r w:rsidR="008B1886">
        <w:rPr>
          <w:rFonts w:eastAsia="Calibri" w:cstheme="minorHAnsi"/>
          <w:sz w:val="24"/>
          <w:szCs w:val="24"/>
        </w:rPr>
        <w:t xml:space="preserve">for Tables 9.7 – </w:t>
      </w:r>
      <w:proofErr w:type="spellStart"/>
      <w:r w:rsidR="008B1886">
        <w:rPr>
          <w:rFonts w:eastAsia="Calibri" w:cstheme="minorHAnsi"/>
          <w:sz w:val="24"/>
          <w:szCs w:val="24"/>
        </w:rPr>
        <w:t>Stormwater</w:t>
      </w:r>
      <w:proofErr w:type="spellEnd"/>
      <w:r w:rsidR="008B1886">
        <w:rPr>
          <w:rFonts w:eastAsia="Calibri" w:cstheme="minorHAnsi"/>
          <w:sz w:val="24"/>
          <w:szCs w:val="24"/>
        </w:rPr>
        <w:t xml:space="preserve"> Recharge – MS4 Requirements </w:t>
      </w:r>
      <w:r>
        <w:rPr>
          <w:rFonts w:eastAsia="Calibri" w:cstheme="minorHAnsi"/>
          <w:sz w:val="24"/>
          <w:szCs w:val="24"/>
        </w:rPr>
        <w:t>include</w:t>
      </w:r>
      <w:r w:rsidR="008B1886">
        <w:rPr>
          <w:rFonts w:eastAsia="Calibri" w:cstheme="minorHAnsi"/>
          <w:sz w:val="24"/>
          <w:szCs w:val="24"/>
        </w:rPr>
        <w:t xml:space="preserve"> PDF displays of the work and cost breakdown for each of the MS4 requirements:  6 minimum measures, NOI and SWMP.  These tables display how the cost ranges were determined for each requirement.  The requirements are broken down into tasks which are then broken down into low and high ranges for one-time costs, annual/ongoing costs, and total costs/hours for rural, suburban, and urban communities.</w:t>
      </w:r>
    </w:p>
    <w:p w:rsidR="008B1886" w:rsidRDefault="008B1886" w:rsidP="00E50FBD">
      <w:pPr>
        <w:spacing w:after="0" w:line="240" w:lineRule="auto"/>
        <w:rPr>
          <w:rFonts w:eastAsia="Calibri" w:cstheme="minorHAnsi"/>
          <w:sz w:val="24"/>
          <w:szCs w:val="24"/>
        </w:rPr>
      </w:pPr>
    </w:p>
    <w:p w:rsidR="008B1886" w:rsidRPr="008B1886" w:rsidRDefault="008B1886" w:rsidP="00E50FBD">
      <w:pPr>
        <w:spacing w:after="0" w:line="240" w:lineRule="auto"/>
        <w:rPr>
          <w:rFonts w:eastAsia="Calibri" w:cstheme="minorHAnsi"/>
          <w:sz w:val="24"/>
          <w:szCs w:val="24"/>
        </w:rPr>
      </w:pPr>
      <w:r>
        <w:rPr>
          <w:rFonts w:eastAsia="Calibri" w:cstheme="minorHAnsi"/>
          <w:sz w:val="24"/>
          <w:szCs w:val="24"/>
        </w:rPr>
        <w:t xml:space="preserve">The purpose of these PDF’s is to provide a detailed background on how the cost ranges for each MS4 requirement are calculated.  The brief description of each requirement is provided on Table 9.7 of the </w:t>
      </w:r>
      <w:r w:rsidRPr="008B1886">
        <w:rPr>
          <w:rFonts w:eastAsia="Calibri" w:cstheme="minorHAnsi"/>
          <w:i/>
          <w:sz w:val="24"/>
          <w:szCs w:val="24"/>
        </w:rPr>
        <w:t>Comprehensive Review of Revised Water Management Act Permit Requirements</w:t>
      </w:r>
      <w:r>
        <w:rPr>
          <w:rFonts w:eastAsia="Calibri" w:cstheme="minorHAnsi"/>
          <w:sz w:val="24"/>
          <w:szCs w:val="24"/>
        </w:rPr>
        <w:t xml:space="preserve">, </w:t>
      </w:r>
      <w:r w:rsidRPr="008B1886">
        <w:rPr>
          <w:rFonts w:eastAsia="Calibri" w:cstheme="minorHAnsi"/>
          <w:sz w:val="24"/>
          <w:szCs w:val="24"/>
        </w:rPr>
        <w:t>July 1, 2017</w:t>
      </w:r>
      <w:r>
        <w:rPr>
          <w:rFonts w:eastAsia="Calibri" w:cstheme="minorHAnsi"/>
          <w:sz w:val="24"/>
          <w:szCs w:val="24"/>
        </w:rPr>
        <w:t xml:space="preserve">.  </w:t>
      </w:r>
    </w:p>
    <w:p w:rsidR="008B1886" w:rsidRPr="008B1886" w:rsidRDefault="008B1886" w:rsidP="00E50FBD">
      <w:pPr>
        <w:spacing w:after="0" w:line="240" w:lineRule="auto"/>
        <w:rPr>
          <w:rFonts w:eastAsia="Calibri" w:cstheme="minorHAnsi"/>
          <w:sz w:val="24"/>
          <w:szCs w:val="24"/>
        </w:rPr>
      </w:pPr>
    </w:p>
    <w:sectPr w:rsidR="008B1886" w:rsidRPr="008B1886" w:rsidSect="00BC1040">
      <w:head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CB3" w:rsidRDefault="00F82CB3" w:rsidP="00F82CB3">
      <w:pPr>
        <w:spacing w:after="0" w:line="240" w:lineRule="auto"/>
      </w:pPr>
      <w:r>
        <w:separator/>
      </w:r>
    </w:p>
  </w:endnote>
  <w:endnote w:type="continuationSeparator" w:id="0">
    <w:p w:rsidR="00F82CB3" w:rsidRDefault="00F82CB3" w:rsidP="00F82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CB3" w:rsidRDefault="00F82CB3" w:rsidP="00F82CB3">
      <w:pPr>
        <w:spacing w:after="0" w:line="240" w:lineRule="auto"/>
      </w:pPr>
      <w:r>
        <w:separator/>
      </w:r>
    </w:p>
  </w:footnote>
  <w:footnote w:type="continuationSeparator" w:id="0">
    <w:p w:rsidR="00F82CB3" w:rsidRDefault="00F82CB3" w:rsidP="00F82CB3">
      <w:pPr>
        <w:spacing w:after="0" w:line="240" w:lineRule="auto"/>
      </w:pPr>
      <w:r>
        <w:continuationSeparator/>
      </w:r>
    </w:p>
  </w:footnote>
  <w:footnote w:id="1">
    <w:p w:rsidR="00B57557" w:rsidRPr="00B57557" w:rsidRDefault="00B57557">
      <w:pPr>
        <w:pStyle w:val="FootnoteText"/>
      </w:pPr>
      <w:r>
        <w:rPr>
          <w:rStyle w:val="FootnoteReference"/>
        </w:rPr>
        <w:footnoteRef/>
      </w:r>
      <w:r>
        <w:t xml:space="preserve"> CEI developed a tutorial video on how the M$4CASTER</w:t>
      </w:r>
      <w:r>
        <w:rPr>
          <w:vertAlign w:val="superscript"/>
        </w:rPr>
        <w:t>TM</w:t>
      </w:r>
      <w:r>
        <w:t xml:space="preserve"> Model works, accessible at </w:t>
      </w:r>
      <w:hyperlink r:id="rId1" w:history="1">
        <w:r w:rsidRPr="008B6B1A">
          <w:rPr>
            <w:rStyle w:val="Hyperlink"/>
          </w:rPr>
          <w:t>http://ceiengineers.com/services/npdes-ms4-services/cei-s-m-4caster/</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A0" w:firstRow="1" w:lastRow="0" w:firstColumn="1" w:lastColumn="0" w:noHBand="0" w:noVBand="0"/>
    </w:tblPr>
    <w:tblGrid>
      <w:gridCol w:w="1620"/>
      <w:gridCol w:w="9200"/>
    </w:tblGrid>
    <w:tr w:rsidR="00F82CB3" w:rsidTr="00D43625">
      <w:trPr>
        <w:trHeight w:hRule="exact" w:val="1380"/>
        <w:jc w:val="center"/>
      </w:trPr>
      <w:tc>
        <w:tcPr>
          <w:tcW w:w="1620" w:type="dxa"/>
          <w:vMerge w:val="restart"/>
          <w:tcBorders>
            <w:top w:val="nil"/>
            <w:left w:val="nil"/>
            <w:right w:val="nil"/>
          </w:tcBorders>
        </w:tcPr>
        <w:p w:rsidR="00F82CB3" w:rsidRDefault="00F82CB3" w:rsidP="00F82CB3">
          <w:pPr>
            <w:pStyle w:val="Header"/>
            <w:jc w:val="both"/>
          </w:pPr>
          <w:r>
            <w:rPr>
              <w:noProof/>
            </w:rPr>
            <w:drawing>
              <wp:inline distT="0" distB="0" distL="0" distR="0" wp14:anchorId="4357647B" wp14:editId="0AB68A9E">
                <wp:extent cx="862965" cy="1111885"/>
                <wp:effectExtent l="19050" t="0" r="0" b="0"/>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862965" cy="1111885"/>
                        </a:xfrm>
                        <a:prstGeom prst="rect">
                          <a:avLst/>
                        </a:prstGeom>
                        <a:noFill/>
                        <a:ln w="9525">
                          <a:noFill/>
                          <a:miter lim="800000"/>
                          <a:headEnd/>
                          <a:tailEnd/>
                        </a:ln>
                      </pic:spPr>
                    </pic:pic>
                  </a:graphicData>
                </a:graphic>
              </wp:inline>
            </w:drawing>
          </w:r>
        </w:p>
      </w:tc>
      <w:tc>
        <w:tcPr>
          <w:tcW w:w="9200" w:type="dxa"/>
          <w:tcBorders>
            <w:top w:val="nil"/>
            <w:left w:val="nil"/>
            <w:bottom w:val="nil"/>
            <w:right w:val="nil"/>
          </w:tcBorders>
          <w:tcMar>
            <w:left w:w="0" w:type="dxa"/>
          </w:tcMar>
        </w:tcPr>
        <w:p w:rsidR="00F82CB3" w:rsidRDefault="00F82CB3" w:rsidP="00F82CB3">
          <w:pPr>
            <w:pStyle w:val="Header"/>
          </w:pPr>
          <w:r>
            <w:rPr>
              <w:noProof/>
            </w:rPr>
            <w:drawing>
              <wp:inline distT="0" distB="0" distL="0" distR="0" wp14:anchorId="17F09143" wp14:editId="03018438">
                <wp:extent cx="5837555" cy="855980"/>
                <wp:effectExtent l="19050" t="0" r="0" b="0"/>
                <wp:docPr id="5" name="Picture 10" descr="P:\P Documents\logo10\letterhead\BMP\header_tex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P Documents\logo10\letterhead\BMP\header_text.bmp"/>
                        <pic:cNvPicPr>
                          <a:picLocks noChangeAspect="1" noChangeArrowheads="1"/>
                        </pic:cNvPicPr>
                      </pic:nvPicPr>
                      <pic:blipFill>
                        <a:blip r:embed="rId2"/>
                        <a:srcRect/>
                        <a:stretch>
                          <a:fillRect/>
                        </a:stretch>
                      </pic:blipFill>
                      <pic:spPr bwMode="auto">
                        <a:xfrm>
                          <a:off x="0" y="0"/>
                          <a:ext cx="5837555" cy="855980"/>
                        </a:xfrm>
                        <a:prstGeom prst="rect">
                          <a:avLst/>
                        </a:prstGeom>
                        <a:noFill/>
                        <a:ln w="9525">
                          <a:noFill/>
                          <a:miter lim="800000"/>
                          <a:headEnd/>
                          <a:tailEnd/>
                        </a:ln>
                      </pic:spPr>
                    </pic:pic>
                  </a:graphicData>
                </a:graphic>
              </wp:inline>
            </w:drawing>
          </w:r>
        </w:p>
        <w:p w:rsidR="00F82CB3" w:rsidRDefault="00F82CB3" w:rsidP="00F82CB3">
          <w:pPr>
            <w:pStyle w:val="Header"/>
          </w:pPr>
        </w:p>
        <w:p w:rsidR="00F82CB3" w:rsidRDefault="00F82CB3" w:rsidP="00F82CB3"/>
        <w:p w:rsidR="00F82CB3" w:rsidRPr="001A50BD" w:rsidRDefault="00F82CB3" w:rsidP="00F82CB3">
          <w:pPr>
            <w:tabs>
              <w:tab w:val="left" w:pos="1868"/>
            </w:tabs>
          </w:pPr>
        </w:p>
      </w:tc>
    </w:tr>
    <w:tr w:rsidR="00F82CB3" w:rsidTr="00D43625">
      <w:trPr>
        <w:trHeight w:hRule="exact" w:val="600"/>
        <w:jc w:val="center"/>
      </w:trPr>
      <w:tc>
        <w:tcPr>
          <w:tcW w:w="1620" w:type="dxa"/>
          <w:vMerge/>
          <w:tcBorders>
            <w:left w:val="nil"/>
            <w:bottom w:val="nil"/>
            <w:right w:val="nil"/>
          </w:tcBorders>
        </w:tcPr>
        <w:p w:rsidR="00F82CB3" w:rsidRDefault="00F82CB3" w:rsidP="00F82CB3">
          <w:pPr>
            <w:pStyle w:val="Header"/>
            <w:jc w:val="both"/>
          </w:pPr>
        </w:p>
      </w:tc>
      <w:tc>
        <w:tcPr>
          <w:tcW w:w="9200" w:type="dxa"/>
          <w:tcBorders>
            <w:top w:val="nil"/>
            <w:left w:val="nil"/>
            <w:bottom w:val="nil"/>
            <w:right w:val="nil"/>
          </w:tcBorders>
          <w:tcMar>
            <w:left w:w="140" w:type="dxa"/>
          </w:tcMar>
        </w:tcPr>
        <w:p w:rsidR="00F82CB3" w:rsidRDefault="00F82CB3" w:rsidP="00F82CB3">
          <w:pPr>
            <w:pStyle w:val="Header"/>
            <w:ind w:left="-120"/>
          </w:pPr>
          <w:bookmarkStart w:id="1" w:name="Office"/>
          <w:bookmarkEnd w:id="1"/>
          <w:r>
            <w:rPr>
              <w:noProof/>
            </w:rPr>
            <w:drawing>
              <wp:inline distT="0" distB="0" distL="0" distR="0" wp14:anchorId="6C3A19C1" wp14:editId="0BFAF0EA">
                <wp:extent cx="3380105" cy="170815"/>
                <wp:effectExtent l="19050" t="0" r="0" b="0"/>
                <wp:docPr id="21" name="Picture 4" descr="Y:\Web_Share\Letterhead 10\boston_addres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Web_Share\Letterhead 10\boston_address.bmp"/>
                        <pic:cNvPicPr>
                          <a:picLocks noChangeAspect="1" noChangeArrowheads="1"/>
                        </pic:cNvPicPr>
                      </pic:nvPicPr>
                      <pic:blipFill>
                        <a:blip r:embed="rId3"/>
                        <a:srcRect/>
                        <a:stretch>
                          <a:fillRect/>
                        </a:stretch>
                      </pic:blipFill>
                      <pic:spPr bwMode="auto">
                        <a:xfrm>
                          <a:off x="0" y="0"/>
                          <a:ext cx="3380105" cy="170815"/>
                        </a:xfrm>
                        <a:prstGeom prst="rect">
                          <a:avLst/>
                        </a:prstGeom>
                        <a:noFill/>
                        <a:ln w="9525">
                          <a:noFill/>
                          <a:miter lim="800000"/>
                          <a:headEnd/>
                          <a:tailEnd/>
                        </a:ln>
                      </pic:spPr>
                    </pic:pic>
                  </a:graphicData>
                </a:graphic>
              </wp:inline>
            </w:drawing>
          </w:r>
        </w:p>
      </w:tc>
    </w:tr>
    <w:tr w:rsidR="00F82CB3" w:rsidTr="00D43625">
      <w:trPr>
        <w:trHeight w:val="600"/>
        <w:jc w:val="center"/>
      </w:trPr>
      <w:tc>
        <w:tcPr>
          <w:tcW w:w="1620" w:type="dxa"/>
          <w:tcBorders>
            <w:top w:val="nil"/>
            <w:left w:val="nil"/>
            <w:bottom w:val="nil"/>
            <w:right w:val="nil"/>
          </w:tcBorders>
        </w:tcPr>
        <w:p w:rsidR="00F82CB3" w:rsidRDefault="00F82CB3" w:rsidP="00F82CB3">
          <w:pPr>
            <w:spacing w:after="0"/>
            <w:jc w:val="both"/>
            <w:rPr>
              <w:rFonts w:ascii="Arial" w:hAnsi="Arial" w:cs="Arial"/>
              <w:bCs/>
              <w:color w:val="359D6E"/>
              <w:sz w:val="16"/>
              <w:szCs w:val="16"/>
            </w:rPr>
          </w:pPr>
          <w:r>
            <w:rPr>
              <w:rFonts w:ascii="Arial" w:hAnsi="Arial" w:cs="Arial"/>
              <w:color w:val="359D6E"/>
              <w:sz w:val="16"/>
              <w:szCs w:val="16"/>
            </w:rPr>
            <w:t>Charles D. Baker</w:t>
          </w:r>
        </w:p>
        <w:p w:rsidR="00F82CB3" w:rsidRDefault="00F82CB3" w:rsidP="00F82CB3">
          <w:pPr>
            <w:spacing w:after="0"/>
            <w:rPr>
              <w:rFonts w:ascii="Arial" w:hAnsi="Arial" w:cs="Arial"/>
              <w:color w:val="359D6E"/>
              <w:sz w:val="16"/>
              <w:szCs w:val="16"/>
            </w:rPr>
          </w:pPr>
          <w:r>
            <w:rPr>
              <w:rFonts w:ascii="Arial" w:hAnsi="Arial" w:cs="Arial"/>
              <w:color w:val="359D6E"/>
              <w:sz w:val="16"/>
              <w:szCs w:val="16"/>
            </w:rPr>
            <w:t>Governor</w:t>
          </w:r>
        </w:p>
        <w:p w:rsidR="00F82CB3" w:rsidRDefault="00F82CB3" w:rsidP="00F82CB3">
          <w:pPr>
            <w:spacing w:after="0"/>
            <w:rPr>
              <w:rFonts w:ascii="Arial" w:hAnsi="Arial" w:cs="Arial"/>
              <w:color w:val="359D6E"/>
              <w:sz w:val="16"/>
              <w:szCs w:val="16"/>
            </w:rPr>
          </w:pPr>
        </w:p>
        <w:p w:rsidR="00F82CB3" w:rsidRDefault="00F82CB3" w:rsidP="00F82CB3">
          <w:pPr>
            <w:spacing w:after="0"/>
            <w:rPr>
              <w:rFonts w:ascii="Arial" w:hAnsi="Arial" w:cs="Arial"/>
              <w:bCs/>
              <w:color w:val="359D6E"/>
              <w:sz w:val="16"/>
              <w:szCs w:val="16"/>
            </w:rPr>
          </w:pPr>
          <w:proofErr w:type="spellStart"/>
          <w:r>
            <w:rPr>
              <w:rFonts w:ascii="Arial" w:hAnsi="Arial" w:cs="Arial"/>
              <w:bCs/>
              <w:color w:val="359D6E"/>
              <w:sz w:val="16"/>
              <w:szCs w:val="16"/>
            </w:rPr>
            <w:t>Karyn</w:t>
          </w:r>
          <w:proofErr w:type="spellEnd"/>
          <w:r>
            <w:rPr>
              <w:rFonts w:ascii="Arial" w:hAnsi="Arial" w:cs="Arial"/>
              <w:bCs/>
              <w:color w:val="359D6E"/>
              <w:sz w:val="16"/>
              <w:szCs w:val="16"/>
            </w:rPr>
            <w:t xml:space="preserve"> E. </w:t>
          </w:r>
          <w:proofErr w:type="spellStart"/>
          <w:r>
            <w:rPr>
              <w:rFonts w:ascii="Arial" w:hAnsi="Arial" w:cs="Arial"/>
              <w:bCs/>
              <w:color w:val="359D6E"/>
              <w:sz w:val="16"/>
              <w:szCs w:val="16"/>
            </w:rPr>
            <w:t>Polito</w:t>
          </w:r>
          <w:proofErr w:type="spellEnd"/>
        </w:p>
        <w:p w:rsidR="00F82CB3" w:rsidRDefault="00F82CB3" w:rsidP="00F82CB3">
          <w:pPr>
            <w:spacing w:after="0"/>
            <w:rPr>
              <w:rFonts w:ascii="Arial" w:hAnsi="Arial" w:cs="Arial"/>
              <w:color w:val="359D6E"/>
              <w:sz w:val="16"/>
              <w:szCs w:val="16"/>
            </w:rPr>
          </w:pPr>
          <w:r>
            <w:rPr>
              <w:rFonts w:ascii="Arial" w:hAnsi="Arial" w:cs="Arial"/>
              <w:color w:val="359D6E"/>
              <w:sz w:val="16"/>
              <w:szCs w:val="16"/>
            </w:rPr>
            <w:t>Lieutenant Governor</w:t>
          </w:r>
        </w:p>
        <w:p w:rsidR="00F82CB3" w:rsidRDefault="00F82CB3" w:rsidP="00F82CB3">
          <w:pPr>
            <w:pStyle w:val="Header"/>
          </w:pPr>
        </w:p>
      </w:tc>
      <w:tc>
        <w:tcPr>
          <w:tcW w:w="9200" w:type="dxa"/>
          <w:tcBorders>
            <w:top w:val="nil"/>
            <w:left w:val="nil"/>
            <w:bottom w:val="nil"/>
            <w:right w:val="nil"/>
          </w:tcBorders>
        </w:tcPr>
        <w:p w:rsidR="00F82CB3" w:rsidRDefault="00F82CB3" w:rsidP="00F82CB3">
          <w:pPr>
            <w:spacing w:after="0"/>
            <w:jc w:val="right"/>
            <w:rPr>
              <w:rFonts w:ascii="Arial" w:hAnsi="Arial" w:cs="Arial"/>
              <w:color w:val="359D6E"/>
              <w:sz w:val="16"/>
              <w:szCs w:val="16"/>
            </w:rPr>
          </w:pPr>
          <w:r>
            <w:rPr>
              <w:rFonts w:ascii="Arial" w:hAnsi="Arial" w:cs="Arial"/>
              <w:color w:val="359D6E"/>
              <w:sz w:val="16"/>
              <w:szCs w:val="16"/>
            </w:rPr>
            <w:t>Matthew A. Beaton</w:t>
          </w:r>
        </w:p>
        <w:p w:rsidR="00F82CB3" w:rsidRDefault="00F82CB3" w:rsidP="00F82CB3">
          <w:pPr>
            <w:spacing w:after="0"/>
            <w:jc w:val="right"/>
            <w:rPr>
              <w:rFonts w:ascii="Arial" w:hAnsi="Arial" w:cs="Arial"/>
              <w:color w:val="359D6E"/>
              <w:sz w:val="16"/>
              <w:szCs w:val="16"/>
            </w:rPr>
          </w:pPr>
          <w:r>
            <w:rPr>
              <w:rFonts w:ascii="Arial" w:hAnsi="Arial" w:cs="Arial"/>
              <w:color w:val="359D6E"/>
              <w:sz w:val="16"/>
              <w:szCs w:val="16"/>
            </w:rPr>
            <w:t>Secretary</w:t>
          </w:r>
        </w:p>
        <w:p w:rsidR="00F82CB3" w:rsidRDefault="00F82CB3" w:rsidP="00F82CB3">
          <w:pPr>
            <w:spacing w:after="0"/>
            <w:jc w:val="right"/>
            <w:rPr>
              <w:rFonts w:ascii="Arial" w:hAnsi="Arial" w:cs="Arial"/>
              <w:color w:val="359D6E"/>
              <w:sz w:val="16"/>
              <w:szCs w:val="16"/>
            </w:rPr>
          </w:pPr>
        </w:p>
        <w:p w:rsidR="00F82CB3" w:rsidRDefault="00F82CB3" w:rsidP="00F82CB3">
          <w:pPr>
            <w:spacing w:after="0"/>
            <w:jc w:val="right"/>
            <w:rPr>
              <w:rFonts w:ascii="Arial" w:hAnsi="Arial" w:cs="Arial"/>
              <w:bCs/>
              <w:color w:val="359D6E"/>
              <w:sz w:val="16"/>
              <w:szCs w:val="16"/>
            </w:rPr>
          </w:pPr>
          <w:r>
            <w:rPr>
              <w:rFonts w:ascii="Arial" w:hAnsi="Arial" w:cs="Arial"/>
              <w:bCs/>
              <w:color w:val="359D6E"/>
              <w:sz w:val="16"/>
              <w:szCs w:val="16"/>
            </w:rPr>
            <w:t>Martin Suuberg</w:t>
          </w:r>
        </w:p>
        <w:p w:rsidR="00F82CB3" w:rsidRDefault="00F82CB3" w:rsidP="00F82CB3">
          <w:pPr>
            <w:pStyle w:val="Header"/>
            <w:ind w:right="10"/>
            <w:jc w:val="right"/>
          </w:pPr>
          <w:r>
            <w:rPr>
              <w:rFonts w:ascii="Arial" w:hAnsi="Arial" w:cs="Arial"/>
              <w:color w:val="359D6E"/>
              <w:sz w:val="16"/>
              <w:szCs w:val="16"/>
            </w:rPr>
            <w:t>Commissioner</w:t>
          </w:r>
        </w:p>
      </w:tc>
    </w:tr>
  </w:tbl>
  <w:p w:rsidR="00F82CB3" w:rsidRDefault="00F82CB3" w:rsidP="00F82C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06FE9"/>
    <w:multiLevelType w:val="hybridMultilevel"/>
    <w:tmpl w:val="34E0E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164"/>
    <w:rsid w:val="0008754A"/>
    <w:rsid w:val="00236320"/>
    <w:rsid w:val="002F3B9C"/>
    <w:rsid w:val="00464C67"/>
    <w:rsid w:val="00545C7E"/>
    <w:rsid w:val="007A4FB0"/>
    <w:rsid w:val="008644E6"/>
    <w:rsid w:val="008B1886"/>
    <w:rsid w:val="008D0AEE"/>
    <w:rsid w:val="009D71B5"/>
    <w:rsid w:val="00B221CC"/>
    <w:rsid w:val="00B57557"/>
    <w:rsid w:val="00BC1040"/>
    <w:rsid w:val="00D85434"/>
    <w:rsid w:val="00E50FBD"/>
    <w:rsid w:val="00E76164"/>
    <w:rsid w:val="00F82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2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CB3"/>
  </w:style>
  <w:style w:type="paragraph" w:styleId="Footer">
    <w:name w:val="footer"/>
    <w:basedOn w:val="Normal"/>
    <w:link w:val="FooterChar"/>
    <w:uiPriority w:val="99"/>
    <w:unhideWhenUsed/>
    <w:rsid w:val="00F82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CB3"/>
  </w:style>
  <w:style w:type="paragraph" w:styleId="BalloonText">
    <w:name w:val="Balloon Text"/>
    <w:basedOn w:val="Normal"/>
    <w:link w:val="BalloonTextChar"/>
    <w:uiPriority w:val="99"/>
    <w:semiHidden/>
    <w:unhideWhenUsed/>
    <w:rsid w:val="00F82C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CB3"/>
    <w:rPr>
      <w:rFonts w:ascii="Tahoma" w:hAnsi="Tahoma" w:cs="Tahoma"/>
      <w:sz w:val="16"/>
      <w:szCs w:val="16"/>
    </w:rPr>
  </w:style>
  <w:style w:type="paragraph" w:styleId="ListParagraph">
    <w:name w:val="List Paragraph"/>
    <w:basedOn w:val="Normal"/>
    <w:uiPriority w:val="34"/>
    <w:qFormat/>
    <w:rsid w:val="00B57557"/>
    <w:pPr>
      <w:ind w:left="720"/>
      <w:contextualSpacing/>
    </w:pPr>
  </w:style>
  <w:style w:type="paragraph" w:styleId="FootnoteText">
    <w:name w:val="footnote text"/>
    <w:basedOn w:val="Normal"/>
    <w:link w:val="FootnoteTextChar"/>
    <w:uiPriority w:val="99"/>
    <w:semiHidden/>
    <w:unhideWhenUsed/>
    <w:rsid w:val="00B575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7557"/>
    <w:rPr>
      <w:sz w:val="20"/>
      <w:szCs w:val="20"/>
    </w:rPr>
  </w:style>
  <w:style w:type="character" w:styleId="FootnoteReference">
    <w:name w:val="footnote reference"/>
    <w:basedOn w:val="DefaultParagraphFont"/>
    <w:uiPriority w:val="99"/>
    <w:semiHidden/>
    <w:unhideWhenUsed/>
    <w:rsid w:val="00B57557"/>
    <w:rPr>
      <w:vertAlign w:val="superscript"/>
    </w:rPr>
  </w:style>
  <w:style w:type="character" w:styleId="Hyperlink">
    <w:name w:val="Hyperlink"/>
    <w:basedOn w:val="DefaultParagraphFont"/>
    <w:uiPriority w:val="99"/>
    <w:unhideWhenUsed/>
    <w:rsid w:val="00B57557"/>
    <w:rPr>
      <w:color w:val="0000FF" w:themeColor="hyperlink"/>
      <w:u w:val="single"/>
    </w:rPr>
  </w:style>
  <w:style w:type="character" w:styleId="FollowedHyperlink">
    <w:name w:val="FollowedHyperlink"/>
    <w:basedOn w:val="DefaultParagraphFont"/>
    <w:uiPriority w:val="99"/>
    <w:semiHidden/>
    <w:unhideWhenUsed/>
    <w:rsid w:val="00B5755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2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CB3"/>
  </w:style>
  <w:style w:type="paragraph" w:styleId="Footer">
    <w:name w:val="footer"/>
    <w:basedOn w:val="Normal"/>
    <w:link w:val="FooterChar"/>
    <w:uiPriority w:val="99"/>
    <w:unhideWhenUsed/>
    <w:rsid w:val="00F82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CB3"/>
  </w:style>
  <w:style w:type="paragraph" w:styleId="BalloonText">
    <w:name w:val="Balloon Text"/>
    <w:basedOn w:val="Normal"/>
    <w:link w:val="BalloonTextChar"/>
    <w:uiPriority w:val="99"/>
    <w:semiHidden/>
    <w:unhideWhenUsed/>
    <w:rsid w:val="00F82C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CB3"/>
    <w:rPr>
      <w:rFonts w:ascii="Tahoma" w:hAnsi="Tahoma" w:cs="Tahoma"/>
      <w:sz w:val="16"/>
      <w:szCs w:val="16"/>
    </w:rPr>
  </w:style>
  <w:style w:type="paragraph" w:styleId="ListParagraph">
    <w:name w:val="List Paragraph"/>
    <w:basedOn w:val="Normal"/>
    <w:uiPriority w:val="34"/>
    <w:qFormat/>
    <w:rsid w:val="00B57557"/>
    <w:pPr>
      <w:ind w:left="720"/>
      <w:contextualSpacing/>
    </w:pPr>
  </w:style>
  <w:style w:type="paragraph" w:styleId="FootnoteText">
    <w:name w:val="footnote text"/>
    <w:basedOn w:val="Normal"/>
    <w:link w:val="FootnoteTextChar"/>
    <w:uiPriority w:val="99"/>
    <w:semiHidden/>
    <w:unhideWhenUsed/>
    <w:rsid w:val="00B575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7557"/>
    <w:rPr>
      <w:sz w:val="20"/>
      <w:szCs w:val="20"/>
    </w:rPr>
  </w:style>
  <w:style w:type="character" w:styleId="FootnoteReference">
    <w:name w:val="footnote reference"/>
    <w:basedOn w:val="DefaultParagraphFont"/>
    <w:uiPriority w:val="99"/>
    <w:semiHidden/>
    <w:unhideWhenUsed/>
    <w:rsid w:val="00B57557"/>
    <w:rPr>
      <w:vertAlign w:val="superscript"/>
    </w:rPr>
  </w:style>
  <w:style w:type="character" w:styleId="Hyperlink">
    <w:name w:val="Hyperlink"/>
    <w:basedOn w:val="DefaultParagraphFont"/>
    <w:uiPriority w:val="99"/>
    <w:unhideWhenUsed/>
    <w:rsid w:val="00B57557"/>
    <w:rPr>
      <w:color w:val="0000FF" w:themeColor="hyperlink"/>
      <w:u w:val="single"/>
    </w:rPr>
  </w:style>
  <w:style w:type="character" w:styleId="FollowedHyperlink">
    <w:name w:val="FollowedHyperlink"/>
    <w:basedOn w:val="DefaultParagraphFont"/>
    <w:uiPriority w:val="99"/>
    <w:semiHidden/>
    <w:unhideWhenUsed/>
    <w:rsid w:val="00B575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63869">
      <w:bodyDiv w:val="1"/>
      <w:marLeft w:val="0"/>
      <w:marRight w:val="0"/>
      <w:marTop w:val="0"/>
      <w:marBottom w:val="0"/>
      <w:divBdr>
        <w:top w:val="none" w:sz="0" w:space="0" w:color="auto"/>
        <w:left w:val="none" w:sz="0" w:space="0" w:color="auto"/>
        <w:bottom w:val="none" w:sz="0" w:space="0" w:color="auto"/>
        <w:right w:val="none" w:sz="0" w:space="0" w:color="auto"/>
      </w:divBdr>
    </w:div>
    <w:div w:id="1030762007">
      <w:bodyDiv w:val="1"/>
      <w:marLeft w:val="0"/>
      <w:marRight w:val="0"/>
      <w:marTop w:val="0"/>
      <w:marBottom w:val="0"/>
      <w:divBdr>
        <w:top w:val="none" w:sz="0" w:space="0" w:color="auto"/>
        <w:left w:val="none" w:sz="0" w:space="0" w:color="auto"/>
        <w:bottom w:val="none" w:sz="0" w:space="0" w:color="auto"/>
        <w:right w:val="none" w:sz="0" w:space="0" w:color="auto"/>
      </w:divBdr>
    </w:div>
    <w:div w:id="1165978088">
      <w:bodyDiv w:val="1"/>
      <w:marLeft w:val="0"/>
      <w:marRight w:val="0"/>
      <w:marTop w:val="0"/>
      <w:marBottom w:val="0"/>
      <w:divBdr>
        <w:top w:val="none" w:sz="0" w:space="0" w:color="auto"/>
        <w:left w:val="none" w:sz="0" w:space="0" w:color="auto"/>
        <w:bottom w:val="none" w:sz="0" w:space="0" w:color="auto"/>
        <w:right w:val="none" w:sz="0" w:space="0" w:color="auto"/>
      </w:divBdr>
    </w:div>
    <w:div w:id="1191341176">
      <w:bodyDiv w:val="1"/>
      <w:marLeft w:val="0"/>
      <w:marRight w:val="0"/>
      <w:marTop w:val="0"/>
      <w:marBottom w:val="0"/>
      <w:divBdr>
        <w:top w:val="none" w:sz="0" w:space="0" w:color="auto"/>
        <w:left w:val="none" w:sz="0" w:space="0" w:color="auto"/>
        <w:bottom w:val="none" w:sz="0" w:space="0" w:color="auto"/>
        <w:right w:val="none" w:sz="0" w:space="0" w:color="auto"/>
      </w:divBdr>
    </w:div>
    <w:div w:id="1855800978">
      <w:bodyDiv w:val="1"/>
      <w:marLeft w:val="0"/>
      <w:marRight w:val="0"/>
      <w:marTop w:val="0"/>
      <w:marBottom w:val="0"/>
      <w:divBdr>
        <w:top w:val="none" w:sz="0" w:space="0" w:color="auto"/>
        <w:left w:val="none" w:sz="0" w:space="0" w:color="auto"/>
        <w:bottom w:val="none" w:sz="0" w:space="0" w:color="auto"/>
        <w:right w:val="none" w:sz="0" w:space="0" w:color="auto"/>
      </w:divBdr>
    </w:div>
    <w:div w:id="191635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ceiengineers.com/services/npdes-ms4-services/cei-s-m-4caste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221B7-A6B9-41E6-8656-B51ED17CB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EOEEA</Company>
  <LinksUpToDate>false</LinksUpToDate>
  <CharactersWithSpaces>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emccann</dc:creator>
  <cp:lastModifiedBy>emccann</cp:lastModifiedBy>
  <cp:revision>2</cp:revision>
  <cp:lastPrinted>2017-06-26T19:11:00Z</cp:lastPrinted>
  <dcterms:created xsi:type="dcterms:W3CDTF">2017-06-26T19:12:00Z</dcterms:created>
  <dcterms:modified xsi:type="dcterms:W3CDTF">2017-06-26T19:12:00Z</dcterms:modified>
</cp:coreProperties>
</file>